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188CAA" w14:textId="3D1613E2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bookmarkStart w:id="0" w:name="_GoBack"/>
      <w:bookmarkEnd w:id="0"/>
      <w:r w:rsidRPr="00945EB6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S.26.01. - Solvency Capital Requirement </w:t>
      </w:r>
      <w:r w:rsidR="00D70699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-</w:t>
      </w:r>
      <w:r w:rsidRPr="00945EB6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Market risk </w:t>
      </w:r>
    </w:p>
    <w:p w14:paraId="3C6973B7" w14:textId="77777777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16E6CD00" w14:textId="60984721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945EB6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comments: </w:t>
      </w:r>
    </w:p>
    <w:p w14:paraId="2F533013" w14:textId="77777777" w:rsidR="00880789" w:rsidRPr="00945EB6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5680FC9" w14:textId="77777777" w:rsidR="00880789" w:rsidRPr="00945EB6" w:rsidRDefault="00880789" w:rsidP="0094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2432656B" w14:textId="77777777" w:rsidR="00880789" w:rsidRPr="00945EB6" w:rsidRDefault="00880789" w:rsidP="00945EB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6989A553" w14:textId="3A350424" w:rsidR="00880789" w:rsidRPr="00945EB6" w:rsidRDefault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</w:t>
      </w:r>
      <w:r w:rsidR="00575896" w:rsidRPr="00945EB6">
        <w:rPr>
          <w:rFonts w:ascii="Times New Roman" w:hAnsi="Times New Roman" w:cs="Times New Roman"/>
          <w:sz w:val="20"/>
          <w:szCs w:val="20"/>
          <w:lang w:val="en-GB"/>
        </w:rPr>
        <w:t>groups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, ring fenced-funds, matching </w:t>
      </w:r>
      <w:r w:rsidR="00F465D3"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154A940" w14:textId="4CD5890D" w:rsidR="00880789" w:rsidRPr="00945EB6" w:rsidRDefault="00880789" w:rsidP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>The variant S.2</w:t>
      </w:r>
      <w:r w:rsidR="0086086A" w:rsidRPr="00945EB6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3D1C67" w:rsidRPr="00945EB6">
        <w:rPr>
          <w:rFonts w:ascii="Times New Roman" w:hAnsi="Times New Roman" w:cs="Times New Roman"/>
          <w:sz w:val="20"/>
          <w:szCs w:val="20"/>
          <w:lang w:val="en-GB"/>
        </w:rPr>
        <w:t>1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.l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p w14:paraId="3A533B85" w14:textId="77777777" w:rsidR="00E24E79" w:rsidRPr="00945EB6" w:rsidRDefault="00E24E79" w:rsidP="00945EB6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For group reporting the following specific requirements shall be met: </w:t>
      </w:r>
    </w:p>
    <w:p w14:paraId="261F3D3A" w14:textId="553E2B02" w:rsidR="00E24E79" w:rsidRPr="00945EB6" w:rsidRDefault="00E24E79" w:rsidP="00945EB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>This information is applicable when method 1 as defined in Article 230 of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used,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either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exclusively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or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combination with method 2 as defined in Article 233 of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; </w:t>
      </w:r>
    </w:p>
    <w:p w14:paraId="177CA0BB" w14:textId="1F2D974D" w:rsidR="00E24E79" w:rsidRPr="00945EB6" w:rsidRDefault="00E24E79" w:rsidP="00945EB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>When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combination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method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being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used,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this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information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is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to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be submitted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only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for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the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part of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the group calculated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with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>method</w:t>
      </w:r>
      <w:r w:rsidR="00C456DA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1 as defined in Article 230 of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, and; </w:t>
      </w:r>
    </w:p>
    <w:p w14:paraId="232EE46D" w14:textId="58188742" w:rsidR="00E24E79" w:rsidRPr="00945EB6" w:rsidRDefault="00E24E79" w:rsidP="00945EB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This information does not apply to groups when method 2 as defined in Article 233 of </w:t>
      </w:r>
      <w:r w:rsidR="00B56123">
        <w:rPr>
          <w:rFonts w:ascii="Times New Roman" w:hAnsi="Times New Roman" w:cs="Times New Roman"/>
          <w:sz w:val="20"/>
          <w:szCs w:val="20"/>
          <w:lang w:val="en-GB"/>
        </w:rPr>
        <w:t>Directive 2009/138/EC</w:t>
      </w:r>
      <w:r w:rsidRPr="00945EB6">
        <w:rPr>
          <w:rFonts w:ascii="Times New Roman" w:hAnsi="Times New Roman" w:cs="Times New Roman"/>
          <w:sz w:val="20"/>
          <w:szCs w:val="20"/>
          <w:lang w:val="en-GB"/>
        </w:rPr>
        <w:t xml:space="preserve"> is being used exclusively.</w:t>
      </w:r>
    </w:p>
    <w:tbl>
      <w:tblPr>
        <w:tblW w:w="93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2509"/>
        <w:gridCol w:w="134"/>
        <w:gridCol w:w="5313"/>
      </w:tblGrid>
      <w:tr w:rsidR="00892CC1" w:rsidRPr="00945EB6" w14:paraId="5AAAA80A" w14:textId="77777777" w:rsidTr="00945EB6">
        <w:trPr>
          <w:trHeight w:val="285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D009C" w14:textId="11C6740A" w:rsidR="00892CC1" w:rsidRPr="00945EB6" w:rsidRDefault="00892CC1" w:rsidP="00892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D18B8" w14:textId="3195931F" w:rsidR="00892CC1" w:rsidRPr="00945EB6" w:rsidRDefault="00892CC1" w:rsidP="0089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A1F96" w14:textId="5239D28B" w:rsidR="00892CC1" w:rsidRPr="00945EB6" w:rsidRDefault="00892CC1" w:rsidP="0089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9D71F4" w:rsidRPr="00945EB6" w14:paraId="48A9B404" w14:textId="77777777" w:rsidTr="00945EB6">
        <w:trPr>
          <w:trHeight w:val="32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46B2" w14:textId="77777777" w:rsidR="009D71F4" w:rsidRPr="00945EB6" w:rsidRDefault="009D71F4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0C0" w14:textId="3109072C" w:rsidR="009D71F4" w:rsidRPr="00945EB6" w:rsidRDefault="009D71F4" w:rsidP="00945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79C7" w14:textId="0EAB46E4" w:rsidR="009D71F4" w:rsidRPr="00945EB6" w:rsidRDefault="009D71F4" w:rsidP="00945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F16D43" w:rsidRPr="00945EB6" w14:paraId="2D1EA281" w14:textId="77777777" w:rsidTr="00945EB6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229D" w14:textId="34AB568A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C8A9" w14:textId="0F4F06E0" w:rsidR="00F16D43" w:rsidRPr="00945EB6" w:rsidRDefault="00F16D43" w:rsidP="009D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Article 112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B02A" w14:textId="10ECFB2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(7), to provide an estimate of the SCR using standard formula.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38C3691E" w14:textId="4EDA4C40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Article 112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 reporting</w:t>
            </w:r>
          </w:p>
          <w:p w14:paraId="7813DD53" w14:textId="0C76B470" w:rsidR="00F16D43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Regular reporting</w:t>
            </w:r>
          </w:p>
        </w:tc>
      </w:tr>
      <w:tr w:rsidR="00663F4D" w:rsidRPr="00945EB6" w14:paraId="43E15E86" w14:textId="77777777" w:rsidTr="00945E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4"/>
        </w:trPr>
        <w:tc>
          <w:tcPr>
            <w:tcW w:w="1396" w:type="dxa"/>
            <w:shd w:val="clear" w:color="000000" w:fill="FFFFFF"/>
            <w:hideMark/>
          </w:tcPr>
          <w:p w14:paraId="4FC9611F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Z0020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7B9FD041" w14:textId="1EECAA01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Ring-fenced fund, matching </w:t>
            </w:r>
            <w:r w:rsidR="00F465D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remaining part</w:t>
            </w:r>
          </w:p>
        </w:tc>
        <w:tc>
          <w:tcPr>
            <w:tcW w:w="5313" w:type="dxa"/>
            <w:shd w:val="clear" w:color="000000" w:fill="FFFFFF"/>
            <w:hideMark/>
          </w:tcPr>
          <w:p w14:paraId="49841DE0" w14:textId="7D95A93A" w:rsidR="0093375A" w:rsidRPr="00945EB6" w:rsidRDefault="00E33669" w:rsidP="009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F465D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RFF/MAP</w:t>
            </w:r>
            <w:r w:rsidR="0093375A" w:rsidRPr="00945EB6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93375A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Remaining part</w:t>
            </w:r>
          </w:p>
          <w:p w14:paraId="0D81B3F4" w14:textId="5A0694B7" w:rsidR="00E33669" w:rsidRPr="00945EB6" w:rsidRDefault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85C2D" w:rsidRPr="00945EB6" w14:paraId="4E70262E" w14:textId="77777777" w:rsidTr="00945E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1396" w:type="dxa"/>
            <w:shd w:val="clear" w:color="000000" w:fill="FFFFFF"/>
            <w:hideMark/>
          </w:tcPr>
          <w:p w14:paraId="37F40E13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28CCCF1D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5313" w:type="dxa"/>
            <w:shd w:val="clear" w:color="000000" w:fill="FFFFFF"/>
            <w:hideMark/>
          </w:tcPr>
          <w:p w14:paraId="543247B4" w14:textId="2F5E4D66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Identification number for a ring fenced fund or matching </w:t>
            </w:r>
            <w:r w:rsidR="00F465D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and must be consistent over time and with the fund/portfolio number reported in other templates, e.g. S.26.02, S.14.01, </w:t>
            </w:r>
            <w:proofErr w:type="gram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S.23.01</w:t>
            </w:r>
            <w:proofErr w:type="gram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27F598C3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F2388D" w14:textId="77777777" w:rsidR="00E33669" w:rsidRPr="00945EB6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item is to be completed only when item Z0020 = 1 </w:t>
            </w:r>
          </w:p>
        </w:tc>
      </w:tr>
      <w:tr w:rsidR="00F16D43" w:rsidRPr="00945EB6" w14:paraId="199C2FA5" w14:textId="77777777" w:rsidTr="00945EB6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1CF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</w:t>
            </w:r>
          </w:p>
          <w:p w14:paraId="54D2494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49C9" w14:textId="5B821636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spread risk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bonds and loans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16F3" w14:textId="7281D954" w:rsidR="00E33669" w:rsidRPr="00945EB6" w:rsidRDefault="00F16D43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spread risk with regard to bonds and loans. 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479C7CE" w14:textId="5ABEAEB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 </w:t>
            </w:r>
          </w:p>
          <w:p w14:paraId="685C06EF" w14:textId="5E228E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E3366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  <w:p w14:paraId="2D82F28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F2F48B" w14:textId="0B5EA6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 = 1, only C0060 and C0080 should be filled in for R0410.</w:t>
            </w:r>
          </w:p>
        </w:tc>
      </w:tr>
      <w:tr w:rsidR="00F16D43" w:rsidRPr="00945EB6" w14:paraId="56FBEA01" w14:textId="77777777" w:rsidTr="00945EB6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B2D0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R0020/</w:t>
            </w:r>
          </w:p>
          <w:p w14:paraId="646AF96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9D10" w14:textId="4E606D7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54F1" w14:textId="012C915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interest rate risk. The following options shall be used: </w:t>
            </w:r>
          </w:p>
          <w:p w14:paraId="770CD12C" w14:textId="714ED1EC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used </w:t>
            </w:r>
          </w:p>
          <w:p w14:paraId="41C1700F" w14:textId="406C232D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  <w:p w14:paraId="078DF88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D498EF" w14:textId="0A3828A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 = 1, only C0060 and C0080 should be filled in for R0100-R0120</w:t>
            </w:r>
          </w:p>
        </w:tc>
      </w:tr>
      <w:tr w:rsidR="00F16D43" w:rsidRPr="00945EB6" w14:paraId="605DB986" w14:textId="77777777" w:rsidTr="00945EB6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8FA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R0030/</w:t>
            </w:r>
          </w:p>
          <w:p w14:paraId="5F822CC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33A7" w14:textId="5FEE483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on bonds and loans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4138" w14:textId="5144B90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undertakings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spread risk on bonds and loans. The following options shall be used: </w:t>
            </w:r>
          </w:p>
          <w:p w14:paraId="20076D09" w14:textId="08A66B27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used </w:t>
            </w:r>
          </w:p>
          <w:p w14:paraId="028C6DD2" w14:textId="30F5ED8B" w:rsidR="00F16D43" w:rsidRPr="00945EB6" w:rsidRDefault="00C456D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</w:tc>
      </w:tr>
      <w:tr w:rsidR="00F16D43" w:rsidRPr="00945EB6" w14:paraId="1EA66D2D" w14:textId="77777777" w:rsidTr="00945EB6">
        <w:trPr>
          <w:trHeight w:val="6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CA2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R0040/</w:t>
            </w:r>
          </w:p>
          <w:p w14:paraId="6C02AD4F" w14:textId="12F6FAEA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  <w:r w:rsidR="002C3ACE"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99CC" w14:textId="4679EB1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market risk concentration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08BD" w14:textId="3EC3D84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 </w:t>
            </w:r>
            <w:r w:rsidR="00E24E79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used simplifications for the calculation of market risk concentration. The following options shall be used:</w:t>
            </w:r>
          </w:p>
          <w:p w14:paraId="238A91A0" w14:textId="247BAC8F" w:rsidR="00E33669" w:rsidRPr="00945EB6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used </w:t>
            </w:r>
          </w:p>
          <w:p w14:paraId="4ECCB772" w14:textId="502E5CDF" w:rsidR="00F16D43" w:rsidRPr="00945EB6" w:rsidRDefault="00C456D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Simplifications not used</w:t>
            </w:r>
          </w:p>
        </w:tc>
      </w:tr>
      <w:tr w:rsidR="002C3ACE" w:rsidRPr="00945EB6" w14:paraId="082757D8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6C86A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Interest rate risk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678B9176" w14:textId="370C4EB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57A5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687D86A7" w14:textId="77777777" w:rsidTr="00945EB6">
        <w:trPr>
          <w:trHeight w:val="57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7BD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4994D38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07F77E84" w14:textId="6D83651D" w:rsidR="00E33669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(C0)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4E64" w14:textId="2AAE752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 -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753442" w14:textId="50C26B6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risk, i.e. after adjustment for the loss absorbing capacity of technical provisions.</w:t>
            </w:r>
          </w:p>
          <w:p w14:paraId="0B9B8658" w14:textId="77777777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5123C5A2" w14:textId="77777777" w:rsidTr="00945EB6">
        <w:trPr>
          <w:trHeight w:val="900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A6B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592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B05A1" w14:textId="2615407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net capital charge for interest rate risk calculated using simplified calculations for captive undertakings</w:t>
            </w:r>
            <w:r w:rsidR="00E665C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within the group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F16D43" w:rsidRPr="00945EB6" w14:paraId="4D089BD2" w14:textId="77777777" w:rsidTr="00945EB6">
        <w:trPr>
          <w:trHeight w:val="162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C62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64CAF48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6E4E04D4" w14:textId="5913EDEE" w:rsidR="00E33669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C2A3C" w14:textId="59A423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requirement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04F5" w14:textId="746781F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interest rate risk, i.e. before adjustment for the loss absorbing capacity of technical provisions.</w:t>
            </w:r>
          </w:p>
          <w:p w14:paraId="3603F79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13DDB08" w14:textId="27B41B6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gross capital charge for interest rate risk calculated using simplified calculations for captive undertakings</w:t>
            </w:r>
            <w:r w:rsidR="00E665C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within the group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F16D43" w:rsidRPr="00945EB6" w14:paraId="49852E0D" w14:textId="77777777" w:rsidTr="00945EB6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42B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6C9BAC35" w14:textId="77777777" w:rsidR="00E33669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66BECE88" w14:textId="59643851" w:rsidR="00F16D43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(A1,A2)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2600" w14:textId="08BA0BF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10F4" w14:textId="209542C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value of the assets sensitive to interest rate down/up risk, before shock. </w:t>
            </w:r>
          </w:p>
          <w:p w14:paraId="7DE94D3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ECABBD" w14:textId="7A44FD1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7146E357" w14:textId="77777777" w:rsidTr="00945EB6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C55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5AE7AE5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131C956A" w14:textId="731173DF" w:rsidR="00E33669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(A1A, A2A)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D22F" w14:textId="0A7F3D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9EE8" w14:textId="695D483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interest rate down/up risk, before shock.</w:t>
            </w:r>
          </w:p>
          <w:p w14:paraId="208D56F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383B46" w14:textId="3AA7B16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recoverables. </w:t>
            </w:r>
          </w:p>
        </w:tc>
      </w:tr>
      <w:tr w:rsidR="00F16D43" w:rsidRPr="00945EB6" w14:paraId="278CBF76" w14:textId="77777777" w:rsidTr="00945EB6">
        <w:trPr>
          <w:trHeight w:val="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879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</w:t>
            </w:r>
          </w:p>
          <w:p w14:paraId="6C46DB6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R0120/</w:t>
            </w:r>
          </w:p>
          <w:p w14:paraId="1258B68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755B1571" w14:textId="160C2AC2" w:rsidR="00E33669" w:rsidRPr="00945EB6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(B1,B2)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7DF9" w14:textId="010A302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A8A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subject to interest rate down/up risks after the shock. </w:t>
            </w:r>
          </w:p>
          <w:p w14:paraId="2A0AEED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B77EEA" w14:textId="00793BA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64DEEB42" w14:textId="77777777" w:rsidTr="00945EB6">
        <w:trPr>
          <w:trHeight w:val="72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04A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215ABF9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549F2329" w14:textId="31745A1F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(B1A, B2A)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AC4A" w14:textId="1F30FE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risk- interest rate down/up shock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3742" w14:textId="103E9EC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subject to interest rate down/up risks after the shock. </w:t>
            </w:r>
          </w:p>
          <w:p w14:paraId="2904C57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228F43" w14:textId="3718C5B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486C01EB" w14:textId="77777777" w:rsidTr="00945EB6">
        <w:trPr>
          <w:trHeight w:val="121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50B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4DEA9F1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5D7155D7" w14:textId="746A2609" w:rsidR="002C3ACE" w:rsidRPr="00945EB6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(C1, C2)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F424" w14:textId="6C306A3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FD8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down/up risk, after adjustment for the loss absorbing capacity of technical provisions.</w:t>
            </w:r>
          </w:p>
          <w:p w14:paraId="610A952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715E4438" w14:textId="6F220FF4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net capital charge for interest rate down/up risk calculated using simplifications.</w:t>
            </w:r>
          </w:p>
        </w:tc>
      </w:tr>
      <w:tr w:rsidR="00F16D43" w:rsidRPr="00945EB6" w14:paraId="4A447678" w14:textId="77777777" w:rsidTr="00945EB6">
        <w:trPr>
          <w:trHeight w:val="56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23A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301368B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091AE2FE" w14:textId="73A5EC41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(B1B, B2B)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2EBD5" w14:textId="50289D1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loss-absorbing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481C" w14:textId="08B3319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subject to interest rate down/up risks after the shock. </w:t>
            </w:r>
          </w:p>
          <w:p w14:paraId="4C66DD7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7412C11" w14:textId="30EED31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insurance and SPV recoverables.</w:t>
            </w:r>
          </w:p>
        </w:tc>
      </w:tr>
      <w:tr w:rsidR="00F16D43" w:rsidRPr="00945EB6" w14:paraId="1AA2AE78" w14:textId="77777777" w:rsidTr="00945EB6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622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31E2856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33C3CD09" w14:textId="4713E09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(D1, D2)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9BC5" w14:textId="694DD9C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capital- interest rate risk 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DC0A" w14:textId="6B58572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interest rate down/up risk, i.e. before the loss absorbing capacity of Technical provisions </w:t>
            </w:r>
          </w:p>
          <w:p w14:paraId="2EABE15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2EFF550" w14:textId="30BDF31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gross capital charge for interest rate down/up risk calculated using simplifications. </w:t>
            </w:r>
          </w:p>
        </w:tc>
      </w:tr>
      <w:tr w:rsidR="002C3ACE" w:rsidRPr="00945EB6" w14:paraId="23CA283E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91E2788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Equity risk</w:t>
            </w:r>
          </w:p>
          <w:p w14:paraId="79091B80" w14:textId="02231432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D710498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1F453542" w14:textId="77777777" w:rsidTr="00945EB6">
        <w:trPr>
          <w:trHeight w:val="87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B802" w14:textId="6F85EC7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R0200/C0060</w:t>
            </w:r>
          </w:p>
          <w:p w14:paraId="3386FAB1" w14:textId="212B1E7D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379C" w14:textId="405A83C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B129" w14:textId="2FF5CEA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equity risk, i.e.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F16D43" w:rsidRPr="00945EB6" w14:paraId="3EE62CCA" w14:textId="77777777" w:rsidTr="00945EB6">
        <w:trPr>
          <w:trHeight w:val="7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8F03" w14:textId="1BB4C9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R0200/C0080</w:t>
            </w:r>
          </w:p>
          <w:p w14:paraId="74389970" w14:textId="1BAC5CB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647C" w14:textId="3C92FC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DF23" w14:textId="0404E264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risk, i.e. before adjustment for the loss absorbing capacity of technical provisions.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F16D43" w:rsidRPr="00945EB6" w14:paraId="2D6F6454" w14:textId="77777777" w:rsidTr="00945EB6">
        <w:trPr>
          <w:trHeight w:val="13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4AC1" w14:textId="36A1270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R0210/C0020</w:t>
            </w:r>
          </w:p>
          <w:p w14:paraId="19132DE7" w14:textId="3E1EB91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BEB4" w14:textId="29FEEF4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CA5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the assets subject to the equity risk charge related to type 1 equities</w:t>
            </w:r>
          </w:p>
          <w:p w14:paraId="45F1744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D6D1947" w14:textId="6E5FD27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 not be included in this cell.</w:t>
            </w:r>
          </w:p>
        </w:tc>
      </w:tr>
      <w:tr w:rsidR="00F16D43" w:rsidRPr="00945EB6" w14:paraId="68EE1A9C" w14:textId="77777777" w:rsidTr="00945EB6">
        <w:trPr>
          <w:trHeight w:val="9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4869" w14:textId="5A9829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R0210/C0030</w:t>
            </w:r>
          </w:p>
          <w:p w14:paraId="61360B74" w14:textId="734F4079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48EA" w14:textId="1338EA8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equities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4B5AE" w14:textId="7753847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the liabilities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subject to equity risk related to type 1 equities.</w:t>
            </w:r>
          </w:p>
          <w:p w14:paraId="54BABED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29428CD" w14:textId="1B37DD6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06DFDFA5" w14:textId="77777777" w:rsidTr="00945EB6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FC55" w14:textId="0E1CDA4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R0210/C0040</w:t>
            </w:r>
          </w:p>
          <w:p w14:paraId="64837FF9" w14:textId="1E9A400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577D" w14:textId="19D8377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1161CB2" w14:textId="03EE562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underlying equity risk charge for type 1 equities category, after the shock.</w:t>
            </w:r>
          </w:p>
          <w:p w14:paraId="334F0C1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94067EF" w14:textId="7205CF6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 not be included in this cell.</w:t>
            </w:r>
          </w:p>
        </w:tc>
      </w:tr>
      <w:tr w:rsidR="00F16D43" w:rsidRPr="00945EB6" w14:paraId="7D30167B" w14:textId="77777777" w:rsidTr="00945EB6">
        <w:trPr>
          <w:trHeight w:val="14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F6298" w14:textId="69EF615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R0210/C0050</w:t>
            </w:r>
          </w:p>
          <w:p w14:paraId="12AA95BB" w14:textId="32CBA032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D371" w14:textId="7E435F3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7597" w14:textId="009B0D8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for type 1 equities, after the shock and after the loss absorbing capacity of technical provisions.</w:t>
            </w:r>
          </w:p>
          <w:p w14:paraId="4949F74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6426BD8" w14:textId="35A014F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48CE9F9" w14:textId="77777777" w:rsidTr="00945EB6">
        <w:trPr>
          <w:trHeight w:val="110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689C" w14:textId="6A40972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R0210/C0060</w:t>
            </w:r>
          </w:p>
          <w:p w14:paraId="202BD5C9" w14:textId="7E5BC2D5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4806" w14:textId="639BE72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FB381F2" w14:textId="6B54B0B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equity risk (for type 1 equities),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acity of technical provisions.</w:t>
            </w:r>
          </w:p>
        </w:tc>
      </w:tr>
      <w:tr w:rsidR="00F16D43" w:rsidRPr="00945EB6" w14:paraId="0B03EC98" w14:textId="77777777" w:rsidTr="00945EB6">
        <w:trPr>
          <w:trHeight w:val="15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FD1A" w14:textId="4501D47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R0210/C0070</w:t>
            </w:r>
          </w:p>
          <w:p w14:paraId="3721BC07" w14:textId="221D4D75" w:rsidR="002C3ACE" w:rsidRPr="00945EB6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1A8F" w14:textId="685388D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 -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2E15" w14:textId="53CF24D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(for type 1 equities), after the shock but before the loss absorbing capacity of technical provisions.</w:t>
            </w:r>
          </w:p>
          <w:p w14:paraId="1A61BA1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029465" w14:textId="322DC64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2E1B6E13" w14:textId="77777777" w:rsidTr="00945EB6">
        <w:trPr>
          <w:trHeight w:val="9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7D71" w14:textId="61707F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R0210/C0080</w:t>
            </w:r>
          </w:p>
          <w:p w14:paraId="0D50DF61" w14:textId="077249C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32E6" w14:textId="7D5E762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EF4A0" w14:textId="269BDBC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1 equities, i.e. before the loss absorbing c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apacity of technical provisions.</w:t>
            </w:r>
          </w:p>
        </w:tc>
      </w:tr>
      <w:tr w:rsidR="00F16D43" w:rsidRPr="00945EB6" w14:paraId="31E6AB2F" w14:textId="77777777" w:rsidTr="00945EB6">
        <w:trPr>
          <w:trHeight w:val="9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7F3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142D000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73AB30BB" w14:textId="1D6645BD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(A5-A7)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7384" w14:textId="142025E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AB5E" w14:textId="43690DE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the assets subject to the equity risk (for each kind of type 1 equity).</w:t>
            </w:r>
          </w:p>
          <w:p w14:paraId="520E107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5152EB" w14:textId="009B4F0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47D99767" w14:textId="77777777" w:rsidTr="00945EB6">
        <w:trPr>
          <w:trHeight w:val="93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645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231CF43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1E5EE1AF" w14:textId="323EFB73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(B5-B7)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BC55" w14:textId="057CE47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6054" w14:textId="57127A3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the equity risk charge, (for each kind of type 1 equity), after the shock.</w:t>
            </w:r>
          </w:p>
          <w:p w14:paraId="64A6729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5B9E6D8" w14:textId="6087351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2DA7EE10" w14:textId="77777777" w:rsidTr="00945EB6">
        <w:trPr>
          <w:trHeight w:val="1069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2CDD" w14:textId="4952B76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R0250/C0020</w:t>
            </w:r>
          </w:p>
          <w:p w14:paraId="236E3B3A" w14:textId="4AD1EDAE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2F005" w14:textId="5A8C0FE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B1EC26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the assets subject to the equity risk for type 2 equities</w:t>
            </w:r>
          </w:p>
          <w:p w14:paraId="4614303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0E00838" w14:textId="777FB84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686AE249" w14:textId="77777777" w:rsidTr="00945EB6">
        <w:trPr>
          <w:trHeight w:val="93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4767" w14:textId="46D0810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R0250/C0030</w:t>
            </w:r>
          </w:p>
          <w:p w14:paraId="207A46CC" w14:textId="6DBD0ED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C2E9" w14:textId="15B6A35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F38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initial absolute value of liabilities subject to the equity risk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type 2 equities.</w:t>
            </w:r>
          </w:p>
          <w:p w14:paraId="6369494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81428B7" w14:textId="592DCA8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2A8204AD" w14:textId="77777777" w:rsidTr="00945EB6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E6690" w14:textId="1F95A10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R0250/C0040</w:t>
            </w:r>
          </w:p>
          <w:p w14:paraId="2ED79C4C" w14:textId="0FA1A24B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C962" w14:textId="3331FE3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1754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equity risk charge for type 2 equities, after the shock.</w:t>
            </w:r>
          </w:p>
          <w:p w14:paraId="61CAD46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3E9FB8" w14:textId="72426AF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 not be included in this cell.</w:t>
            </w:r>
          </w:p>
        </w:tc>
      </w:tr>
      <w:tr w:rsidR="00F16D43" w:rsidRPr="00945EB6" w14:paraId="5AAEE78C" w14:textId="77777777" w:rsidTr="00945EB6">
        <w:trPr>
          <w:trHeight w:val="150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5CD7" w14:textId="0C4FB53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R0250/C0050</w:t>
            </w:r>
          </w:p>
          <w:p w14:paraId="7C1A0DA0" w14:textId="04339793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9BFC5" w14:textId="42C6A9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F97B" w14:textId="71DFA60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liabilities subject to equity risk (for type 2 equities), after the shock and after the loss absorbing capacity of technical provisions.</w:t>
            </w:r>
          </w:p>
          <w:p w14:paraId="60F6B5B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8E99CB" w14:textId="73A72F6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227CE9D8" w14:textId="77777777" w:rsidTr="00D70699">
        <w:trPr>
          <w:trHeight w:val="89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705C" w14:textId="77D6CC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R0250/C0060</w:t>
            </w:r>
          </w:p>
          <w:p w14:paraId="2290E39D" w14:textId="22435091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BF00" w14:textId="4E7E533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58A72" w14:textId="3C603D2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equity risk (for type 2 equities)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F16D43" w:rsidRPr="00945EB6" w14:paraId="0630B65A" w14:textId="77777777" w:rsidTr="00945EB6">
        <w:trPr>
          <w:trHeight w:val="15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7F6A" w14:textId="414B526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R0250/C0070</w:t>
            </w:r>
          </w:p>
          <w:p w14:paraId="35DF8F37" w14:textId="6807EC9B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607AC" w14:textId="03FBA88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A75D" w14:textId="6399628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equity risk (for type 2 equities), after the shock but before the loss absorbing capacity of technical provisions.</w:t>
            </w:r>
          </w:p>
          <w:p w14:paraId="25C8864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CE13165" w14:textId="18D5515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3590A0B" w14:textId="77777777" w:rsidTr="00945EB6">
        <w:trPr>
          <w:trHeight w:val="95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DD566" w14:textId="683BD31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R0250/C0080</w:t>
            </w:r>
          </w:p>
          <w:p w14:paraId="415B3759" w14:textId="0EF0943B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3044" w14:textId="0DF3DC9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Equity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50260" w14:textId="1E4FAC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2 equities, i.e. before the loss absorbing c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apacity of technical provisions</w:t>
            </w:r>
          </w:p>
        </w:tc>
      </w:tr>
      <w:tr w:rsidR="00F16D43" w:rsidRPr="00945EB6" w14:paraId="33F477F8" w14:textId="77777777" w:rsidTr="00945EB6">
        <w:trPr>
          <w:trHeight w:val="94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155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6AE038B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0766D97E" w14:textId="14CB4815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(A9-A11)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684E" w14:textId="2E6C9DC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F571" w14:textId="1008536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value of the assets subject to the equity risk (for each kind of type 2 equities)</w:t>
            </w:r>
          </w:p>
          <w:p w14:paraId="2F2FB9B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A582E49" w14:textId="54F41D6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0DB63FEF" w14:textId="77777777" w:rsidTr="00945EB6">
        <w:trPr>
          <w:trHeight w:val="28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ED5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690023A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08AC86B1" w14:textId="4564FBD6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(B9-B11)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7E47A" w14:textId="532890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equity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type 2 equities </w:t>
            </w:r>
          </w:p>
        </w:tc>
        <w:tc>
          <w:tcPr>
            <w:tcW w:w="5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0C82" w14:textId="4AF8E3E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equity risk (for each kind of type 2 equities), after the equity shock.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  <w:p w14:paraId="665EA14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72C514A7" w14:textId="575D262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1938A417" w14:textId="77777777" w:rsidTr="00945EB6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71A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74C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963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2C3ACE" w:rsidRPr="00945EB6" w14:paraId="1884A2D4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2D611C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Property risk</w:t>
            </w:r>
          </w:p>
          <w:p w14:paraId="27868D78" w14:textId="494C801E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000B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42767217" w14:textId="77777777" w:rsidTr="00945EB6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E9D8" w14:textId="0C10B11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R0300/C0020</w:t>
            </w:r>
          </w:p>
          <w:p w14:paraId="1AC80D41" w14:textId="5FAEB6F1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4824" w14:textId="7B10584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D94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property risk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5578DE2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3729322B" w14:textId="18EF31B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5482598F" w14:textId="77777777" w:rsidTr="00945EB6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3396" w14:textId="288260E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R0300/C0030</w:t>
            </w:r>
          </w:p>
          <w:p w14:paraId="72199DC7" w14:textId="2BA0E659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D26D" w14:textId="4DBDAB9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BC9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value of the liabilities value subject to the property risk charge.</w:t>
            </w:r>
          </w:p>
          <w:p w14:paraId="46B4DC7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583989B" w14:textId="237AC09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4278396B" w14:textId="77777777" w:rsidTr="00945EB6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5189" w14:textId="624804B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R0300/C0040</w:t>
            </w:r>
          </w:p>
          <w:p w14:paraId="7E71506A" w14:textId="038CFA12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FB2D" w14:textId="5EEEC24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387C" w14:textId="7FE97A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property risk charge, after the property shock.</w:t>
            </w:r>
          </w:p>
          <w:p w14:paraId="32AAC25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E7ED32C" w14:textId="3A2492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6B9A680A" w14:textId="77777777" w:rsidTr="00945EB6">
        <w:trPr>
          <w:trHeight w:val="12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B9D1" w14:textId="58157B1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R0300/C0050</w:t>
            </w:r>
          </w:p>
          <w:p w14:paraId="6A7FD7EC" w14:textId="6B17442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6D79" w14:textId="246092D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F26B" w14:textId="044A970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and after the loss absorbing capacity of technical provisions.</w:t>
            </w:r>
          </w:p>
          <w:p w14:paraId="6CE7488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F394A6" w14:textId="7FD6A24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B57D3A9" w14:textId="77777777" w:rsidTr="00D70699">
        <w:trPr>
          <w:trHeight w:val="791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A3888" w14:textId="3216D5B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R0300/C0060</w:t>
            </w:r>
          </w:p>
          <w:p w14:paraId="0A500E62" w14:textId="36E7920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(C12)</w:t>
            </w:r>
          </w:p>
        </w:tc>
        <w:tc>
          <w:tcPr>
            <w:tcW w:w="2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69F1" w14:textId="7CC238A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2010" w14:textId="6DF947C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property risk,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F16D43" w:rsidRPr="00945EB6" w14:paraId="732BE41E" w14:textId="77777777" w:rsidTr="00945EB6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0E17" w14:textId="7093E38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R0300/C0070</w:t>
            </w:r>
          </w:p>
          <w:p w14:paraId="666BEB93" w14:textId="6FE450A9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(B12B)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4556" w14:textId="4E2E399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BACCB" w14:textId="7391083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but before the loss absorbing capacity of technical provisions.</w:t>
            </w:r>
          </w:p>
          <w:p w14:paraId="08C0DA7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25D368" w14:textId="6989BE3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7111FB6" w14:textId="77777777" w:rsidTr="00D70699">
        <w:trPr>
          <w:trHeight w:val="72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5C5B8" w14:textId="55F3A77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R0300/C0080</w:t>
            </w:r>
          </w:p>
          <w:p w14:paraId="71D7BC1D" w14:textId="35CEE721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98BF" w14:textId="38B9794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8CD19" w14:textId="12E8F1D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property risk, i.e. before the loss absorbing capacity of tech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nical provisions.</w:t>
            </w:r>
          </w:p>
        </w:tc>
      </w:tr>
      <w:tr w:rsidR="002C3ACE" w:rsidRPr="00945EB6" w14:paraId="0CFE0224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574645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Spread risk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12FFAEA6" w14:textId="1E1C192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DBD16C" w14:textId="7777777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2C7B58F8" w14:textId="77777777" w:rsidTr="00D70699">
        <w:trPr>
          <w:trHeight w:val="79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4CC4" w14:textId="3FC2D52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R0400/C0060</w:t>
            </w:r>
          </w:p>
          <w:p w14:paraId="4809529E" w14:textId="50DFD33E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4B9F" w14:textId="344A262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8CC89" w14:textId="7DF7F74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spread risk,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F16D43" w:rsidRPr="00945EB6" w14:paraId="065882A8" w14:textId="77777777" w:rsidTr="00D70699">
        <w:trPr>
          <w:trHeight w:val="69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0422" w14:textId="0941CED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R0400/C0080</w:t>
            </w:r>
          </w:p>
          <w:p w14:paraId="7C446D92" w14:textId="15E677F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8507" w14:textId="348516D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95E7" w14:textId="496A83C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risk, before adjustment for the loss absorbing ca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pacity of technical provisions.</w:t>
            </w:r>
          </w:p>
        </w:tc>
      </w:tr>
      <w:tr w:rsidR="00F16D43" w:rsidRPr="00945EB6" w14:paraId="57472515" w14:textId="77777777" w:rsidTr="00945EB6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FE6E" w14:textId="77C44CF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R0410/C0020</w:t>
            </w:r>
          </w:p>
          <w:p w14:paraId="42ABD312" w14:textId="43B15D11" w:rsidR="002C3ACE" w:rsidRPr="00945EB6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3A32" w14:textId="2DFD7D9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02DBC7" w14:textId="7087E77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bonds and loans.</w:t>
            </w:r>
          </w:p>
          <w:p w14:paraId="10B634D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3E7624" w14:textId="3915E3E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197705ED" w14:textId="77777777" w:rsidTr="00945EB6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2188" w14:textId="21CCA01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R0410/C0030</w:t>
            </w:r>
          </w:p>
          <w:p w14:paraId="5A578A4A" w14:textId="31AF1568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(A14A)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2AD9" w14:textId="5D8ACE1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539D5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for bonds and loans</w:t>
            </w:r>
            <w:r w:rsidRPr="00945EB6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79ED02A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09B5AB3D" w14:textId="4226F4F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C0DADD2" w14:textId="77777777" w:rsidTr="00945EB6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E22F" w14:textId="7B274C9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R0410/C0040</w:t>
            </w:r>
          </w:p>
          <w:p w14:paraId="53584E26" w14:textId="5EB2225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DE0B" w14:textId="502F2AF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55C2" w14:textId="2DB22AA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for bonds and loans, after the shock.</w:t>
            </w:r>
          </w:p>
          <w:p w14:paraId="47EAA23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E54ED3" w14:textId="0F5E98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0E52FDF3" w14:textId="77777777" w:rsidTr="00945EB6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E40D" w14:textId="2F64AF6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R0410/C0050</w:t>
            </w:r>
          </w:p>
          <w:p w14:paraId="37ABDB66" w14:textId="78C8CA5E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9C77" w14:textId="14531F0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E31E" w14:textId="5B868C5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the spread risk charge for bonds and loans, after the shock and after the loss absorbing capacity of technical provisions.</w:t>
            </w:r>
          </w:p>
          <w:p w14:paraId="251AE4F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DB54DA" w14:textId="13CDD2B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0C87AC71" w14:textId="77777777" w:rsidTr="00945EB6">
        <w:trPr>
          <w:trHeight w:val="5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9CDF" w14:textId="2317CB9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R0410/C0060</w:t>
            </w:r>
          </w:p>
          <w:p w14:paraId="732812C4" w14:textId="24D8F952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CB6F" w14:textId="65FAF10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404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bonds and loans, after adjustment for the loss absorbing capacity of technical provisions. </w:t>
            </w:r>
          </w:p>
          <w:p w14:paraId="79545886" w14:textId="21C24E7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3D4FA00" w14:textId="25980038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R0010/C0010 = 1, this item represents the net solvency capital requirement for spread risk - bonds and loans, calculated using simplifications</w:t>
            </w:r>
          </w:p>
        </w:tc>
      </w:tr>
      <w:tr w:rsidR="00F16D43" w:rsidRPr="00945EB6" w14:paraId="140A817B" w14:textId="77777777" w:rsidTr="00945EB6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B75E" w14:textId="53B0D5C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R0410/C0070</w:t>
            </w:r>
          </w:p>
          <w:p w14:paraId="63AB106B" w14:textId="361E7EFD" w:rsidR="002C3ACE" w:rsidRPr="00945EB6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D52E" w14:textId="19FA65E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4053" w14:textId="5F2F1CB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for bonds and loans, after the shock but before the loss absorbing capacity of technical provisions.</w:t>
            </w:r>
          </w:p>
          <w:p w14:paraId="3C229BA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F7C064D" w14:textId="16BB086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5998E2E5" w14:textId="77777777" w:rsidTr="00945EB6">
        <w:trPr>
          <w:trHeight w:val="1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9CAF" w14:textId="55C29F4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R0410/C0080</w:t>
            </w:r>
          </w:p>
          <w:p w14:paraId="1BC04889" w14:textId="55F0A0D7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82F1" w14:textId="34F48B9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22DA" w14:textId="5BC44D3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bonds and loans, i.e. before the loss absorbing capacity of technical provisions.</w:t>
            </w:r>
          </w:p>
          <w:p w14:paraId="387DD4A0" w14:textId="5C22D00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E52CD40" w14:textId="64090ED5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R0010/C0010 = 1, this item represents gross solvency capital requirement for spread risk - bonds and loans calculated using simplifications. </w:t>
            </w:r>
          </w:p>
        </w:tc>
      </w:tr>
      <w:tr w:rsidR="00F16D43" w:rsidRPr="00945EB6" w14:paraId="7857A1AC" w14:textId="77777777" w:rsidTr="00D70699">
        <w:trPr>
          <w:trHeight w:val="98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55B6" w14:textId="2297F12B" w:rsidR="00F16D43" w:rsidRPr="00945EB6" w:rsidRDefault="000D7514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F16D43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0420/C0060</w:t>
            </w:r>
          </w:p>
          <w:p w14:paraId="5562B295" w14:textId="1429F5F2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(C15)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E90D" w14:textId="1B6B504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1F85A9" w14:textId="21138B2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spread risk on credit derivatives, after adjustment for the loss absorbing cap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acity of technical provisions. </w:t>
            </w:r>
          </w:p>
        </w:tc>
      </w:tr>
      <w:tr w:rsidR="00F16D43" w:rsidRPr="00945EB6" w14:paraId="59B539C0" w14:textId="77777777" w:rsidTr="00D70699">
        <w:trPr>
          <w:trHeight w:val="71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604F" w14:textId="148315C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R0420/C0080</w:t>
            </w:r>
          </w:p>
          <w:p w14:paraId="7DF8A28C" w14:textId="6CDB9A94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(D15)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D91C" w14:textId="7CA82D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815D19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credit derivatives, i.e. before adjustment for the loss absorbing capacity of technical provisions. .</w:t>
            </w:r>
          </w:p>
          <w:p w14:paraId="5815DC67" w14:textId="2981464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45F4C4D4" w14:textId="77777777" w:rsidTr="00945EB6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E92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29C0589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6B9BA20E" w14:textId="152D90CF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(A16, A17)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D1B8" w14:textId="64EA9E7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-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B75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assets subject to the downward/upward shock in respect to the spread risk on credit derivatives.</w:t>
            </w:r>
          </w:p>
          <w:p w14:paraId="4B85619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A0E6991" w14:textId="56FDC7A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708F074B" w14:textId="77777777" w:rsidTr="00945EB6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1F0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2F42DA6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6EB349CB" w14:textId="32C2226C" w:rsidR="002C3ACE" w:rsidRPr="00945EB6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(A16A, A17A)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E841" w14:textId="50E7378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-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098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downward/upward shock in respect to spread risk on credit derivatives.</w:t>
            </w:r>
          </w:p>
          <w:p w14:paraId="2D5C4D6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934FB07" w14:textId="4912B42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491A5084" w14:textId="77777777" w:rsidTr="00945EB6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ED8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7961FC6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1D6E1023" w14:textId="3F1DEE50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(B16, B17)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DC1E" w14:textId="0081E2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3DCA" w14:textId="3280372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the downward/upward shock for spread risk on credit derivatives, after the shock.</w:t>
            </w:r>
          </w:p>
          <w:p w14:paraId="3C0C4C5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A236B9" w14:textId="3ED99D4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58E91632" w14:textId="77777777" w:rsidTr="00945EB6">
        <w:trPr>
          <w:trHeight w:val="18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853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5CE1439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0E5F8FE4" w14:textId="48EA1E77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(B16A, B17A)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FD4AE" w14:textId="7EF7039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5EB12" w14:textId="368605C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downward/upward shock for spread risk on credit derivatives, after the shock and after the loss absorbing capacity of technical provisions.</w:t>
            </w:r>
          </w:p>
          <w:p w14:paraId="2B68068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2EC92F" w14:textId="50CE4B2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4687AE80" w14:textId="77777777" w:rsidTr="00945EB6">
        <w:trPr>
          <w:trHeight w:val="14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C526" w14:textId="440C435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7EE4312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173B2B55" w14:textId="133EFF10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(C16, C17)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29BA" w14:textId="74FD1FC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BA3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the downward/upward shock for spread risk on credit derivatives, after adjustment for the loss absorbing capacity of technical provisions. </w:t>
            </w:r>
          </w:p>
          <w:p w14:paraId="5698FF51" w14:textId="6137D25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3927A660" w14:textId="77777777" w:rsidTr="00945EB6">
        <w:trPr>
          <w:trHeight w:val="171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4DB5" w14:textId="3F031406" w:rsidR="005B0C95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0E39A69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3C695A53" w14:textId="54B8B12B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(B16B, B17B)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EC2F" w14:textId="0A7F5AA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9554" w14:textId="16673BE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downward/upward shock for spread risk on credit derivatives, after the shock but before the loss absorbing capacity of technical provisions.</w:t>
            </w:r>
          </w:p>
          <w:p w14:paraId="043B6FC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038C3D" w14:textId="773C5BA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0F4491B8" w14:textId="77777777" w:rsidTr="00945EB6">
        <w:trPr>
          <w:trHeight w:val="15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B83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3B85A8F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63E0A1E4" w14:textId="11AFD769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(D16, D17)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A389" w14:textId="26578D9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credit derivatives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A3A47" w14:textId="08831ED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downward/upward shock for spread risk on credit derivatives, i.e. before the loss absorbing capacity of technical provisions. </w:t>
            </w:r>
          </w:p>
          <w:p w14:paraId="283A706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C219456" w14:textId="62FBEEA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09891C7C" w14:textId="77777777" w:rsidTr="00945EB6">
        <w:trPr>
          <w:trHeight w:val="142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692C" w14:textId="6FC651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R0450/C0020</w:t>
            </w:r>
          </w:p>
          <w:p w14:paraId="26D8A3E9" w14:textId="39F59121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(A18)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D6FE" w14:textId="3553FE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73169D" w14:textId="7923390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for securitisation positions.</w:t>
            </w:r>
          </w:p>
          <w:p w14:paraId="033767D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88B4B4" w14:textId="7F98798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28D065F1" w14:textId="77777777" w:rsidTr="00945EB6">
        <w:trPr>
          <w:trHeight w:val="142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4FDB" w14:textId="12427D0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R0450/C0030</w:t>
            </w:r>
          </w:p>
          <w:p w14:paraId="69368F5D" w14:textId="0F0F3650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(A18A)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CC22" w14:textId="7355793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securitisation positions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8D4E" w14:textId="4082D69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securitisation positions.</w:t>
            </w:r>
          </w:p>
          <w:p w14:paraId="415ACF9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721D08" w14:textId="53DB918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618C191" w14:textId="77777777" w:rsidTr="00945EB6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AD74" w14:textId="1D72ABC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R0450/C0040</w:t>
            </w:r>
          </w:p>
          <w:p w14:paraId="3F7A7EF7" w14:textId="54D0271D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AB36" w14:textId="3E6342B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0DA2" w14:textId="1FE1B2F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on securitisation positions, after the shock.</w:t>
            </w:r>
          </w:p>
          <w:p w14:paraId="66C6C54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6627FC" w14:textId="728C502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061DBBDD" w14:textId="77777777" w:rsidTr="00945EB6">
        <w:trPr>
          <w:trHeight w:val="162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4E5C" w14:textId="5F557C8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R0450/C0050</w:t>
            </w:r>
          </w:p>
          <w:p w14:paraId="52AEFB15" w14:textId="29ECF777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2DF2" w14:textId="2B47BEA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BAE0F" w14:textId="5577680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securitisation positions, after the shock and after the loss absorbing capacity of technical provisions.</w:t>
            </w:r>
          </w:p>
          <w:p w14:paraId="2301352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F66642C" w14:textId="006068B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75E737F" w14:textId="77777777" w:rsidTr="00945EB6">
        <w:trPr>
          <w:trHeight w:val="113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DCC1B" w14:textId="4764CBA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R0450/C0060</w:t>
            </w:r>
          </w:p>
          <w:p w14:paraId="719245C0" w14:textId="119BED0C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D0E3" w14:textId="06556C8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C4AF0" w14:textId="45B92D9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securitisation positions, after adjustment for the loss absorbing capacity of technical provisions. </w:t>
            </w:r>
          </w:p>
          <w:p w14:paraId="1C5581BA" w14:textId="2C8F32C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0A8CE63D" w14:textId="77777777" w:rsidTr="00945EB6">
        <w:trPr>
          <w:trHeight w:val="15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1E93" w14:textId="36352D4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R0450/C0070</w:t>
            </w:r>
          </w:p>
          <w:p w14:paraId="5B9945AE" w14:textId="66CBC883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FB34" w14:textId="2135712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D1423" w14:textId="7A82282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securitisation positions, after the shock but before the loss absorbing capacity of technical provisions.</w:t>
            </w:r>
          </w:p>
          <w:p w14:paraId="5E1A414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3BCF4F" w14:textId="304742B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EEAD5F7" w14:textId="77777777" w:rsidTr="00945EB6">
        <w:trPr>
          <w:trHeight w:val="97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CAB2" w14:textId="449E840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R0450/C0080</w:t>
            </w:r>
          </w:p>
          <w:p w14:paraId="162AC499" w14:textId="63FBE342" w:rsidR="00887129" w:rsidRPr="00945EB6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E1A6" w14:textId="66D8405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5C64" w14:textId="4175CF8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securitisation positions, i.e. before the loss absorbing capacity of technical provisions.</w:t>
            </w:r>
          </w:p>
          <w:p w14:paraId="2A126649" w14:textId="7774A60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62015384" w14:textId="77777777" w:rsidTr="00945EB6">
        <w:trPr>
          <w:trHeight w:val="13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804E" w14:textId="51138C74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047B" w14:textId="1945B33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A39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for type 1 securitisation positions.</w:t>
            </w:r>
          </w:p>
          <w:p w14:paraId="69EF8CF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26BBD9" w14:textId="26004AB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5A268AE6" w14:textId="77777777" w:rsidTr="00945EB6">
        <w:trPr>
          <w:trHeight w:val="113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C711" w14:textId="7600137B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C865" w14:textId="57D0EAF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AD6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1 securitisation positions.</w:t>
            </w:r>
          </w:p>
          <w:p w14:paraId="1EC6791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E68FC6" w14:textId="3F1F73A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B7FC1D3" w14:textId="77777777" w:rsidTr="00945EB6">
        <w:trPr>
          <w:trHeight w:val="119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8FF2" w14:textId="7BF8519D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EA17" w14:textId="5AB8EE0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CD3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on type 1 securitisation positions, after the shock.</w:t>
            </w:r>
          </w:p>
          <w:p w14:paraId="285340B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BCA5085" w14:textId="1CE6C45D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75712B64" w14:textId="77777777" w:rsidTr="00945EB6">
        <w:trPr>
          <w:trHeight w:val="154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EBF" w14:textId="005FDE83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88DD" w14:textId="2703D63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2F9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1 securitisation positions, after the shock and after the loss absorbing capacity of technical provisions.</w:t>
            </w:r>
          </w:p>
          <w:p w14:paraId="401F0D0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2AE57F6" w14:textId="0244356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364F5C4D" w14:textId="77777777" w:rsidTr="00945EB6">
        <w:trPr>
          <w:trHeight w:val="123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8FEC" w14:textId="78E7FF69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0D33" w14:textId="0781797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5740" w14:textId="0A9873A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1 securitisation positions, after adjustment for the loss absorbing capacity of technical provisions. </w:t>
            </w:r>
          </w:p>
          <w:p w14:paraId="0535FCD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E574DC5" w14:textId="2AF7464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3D5912CB" w14:textId="77777777" w:rsidTr="00945EB6">
        <w:trPr>
          <w:trHeight w:val="15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D8BB" w14:textId="6B4F7DEF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40D8" w14:textId="24639A0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015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1 securitisation positions, after the shock but before the loss absorbing capacity of technical provisions.</w:t>
            </w:r>
          </w:p>
          <w:p w14:paraId="405E23E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03802D" w14:textId="7695357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4F8FCB51" w14:textId="77777777" w:rsidTr="00945EB6">
        <w:trPr>
          <w:trHeight w:val="1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C46C" w14:textId="639F34DB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6326F" w14:textId="08D171D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D538" w14:textId="7DF4254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1 securitisation positions, i.e. before the loss absorbing capacity of technical provisions.</w:t>
            </w:r>
          </w:p>
          <w:p w14:paraId="65E9A5F0" w14:textId="6DBB992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0E0AD92C" w14:textId="77777777" w:rsidTr="00945EB6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C82D" w14:textId="50EEBCEA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59D0" w14:textId="4AD9A61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DE6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for type 2 securitisation positions.</w:t>
            </w:r>
          </w:p>
          <w:p w14:paraId="34EB0ABA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4D56E2" w14:textId="3807531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5D9801C2" w14:textId="77777777" w:rsidTr="00945EB6">
        <w:trPr>
          <w:trHeight w:val="133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21E2" w14:textId="71D237BE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BE15" w14:textId="65FF155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94B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2 securitisation positions.</w:t>
            </w:r>
          </w:p>
          <w:p w14:paraId="43C6B1D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BB30372" w14:textId="38A21C4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61A1B45C" w14:textId="77777777" w:rsidTr="00945EB6">
        <w:trPr>
          <w:trHeight w:val="141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B74F" w14:textId="28B172F4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82339" w14:textId="4B240C0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8B2D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subject to the spread risk on type 2 securitisation positions, after the shock.</w:t>
            </w:r>
          </w:p>
          <w:p w14:paraId="31E6ED7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4C0D29" w14:textId="0330462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31821794" w14:textId="77777777" w:rsidTr="00945EB6">
        <w:trPr>
          <w:trHeight w:val="17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1ECB" w14:textId="3A93C8F1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FE67" w14:textId="5379CD8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14C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2 securitisation positions, after the shock and after the loss absorbing capacity of technical provisions.</w:t>
            </w:r>
          </w:p>
          <w:p w14:paraId="093E049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16A9926" w14:textId="2B42D6B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23CD8CC2" w14:textId="77777777" w:rsidTr="00945EB6">
        <w:trPr>
          <w:trHeight w:val="126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5B42" w14:textId="52909845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F2A8" w14:textId="0140D43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F2A2" w14:textId="6D0931D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2 securitisation positions, after adjustment for the loss absorbing capacity of technical provisions. </w:t>
            </w:r>
          </w:p>
          <w:p w14:paraId="2A97097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25DE4B" w14:textId="102E7D4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2CE0E6A9" w14:textId="77777777" w:rsidTr="00945EB6">
        <w:trPr>
          <w:trHeight w:val="168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BA15" w14:textId="62893AC6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75AC" w14:textId="44AF9C4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1DB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subject to the spread risk on type 2 securitisation positions, after the shock but before the loss absorbing capacity of technical provisions.</w:t>
            </w:r>
          </w:p>
          <w:p w14:paraId="13D8B5A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C70A3F" w14:textId="7BBCFC4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072C32B0" w14:textId="77777777" w:rsidTr="00945EB6">
        <w:trPr>
          <w:trHeight w:val="112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A32E" w14:textId="45A0B54A" w:rsidR="00F16D43" w:rsidRPr="00945EB6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07FB" w14:textId="65E4CBA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type 2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58F9" w14:textId="29498B8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2 securitisation positions, i.e. before the loss absorbing capacity of technical provisions.</w:t>
            </w:r>
          </w:p>
          <w:p w14:paraId="21C11415" w14:textId="4157BF4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55B20080" w14:textId="77777777" w:rsidTr="00945EB6">
        <w:trPr>
          <w:trHeight w:val="141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E1AD" w14:textId="5E522078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4B31" w14:textId="23D9485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37D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subject to the spread risk for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positions.</w:t>
            </w:r>
          </w:p>
          <w:p w14:paraId="414F6B5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DD66A1E" w14:textId="1ED64EB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239E4041" w14:textId="77777777" w:rsidTr="00945EB6">
        <w:trPr>
          <w:trHeight w:val="128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A153A" w14:textId="0FB48A57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2D08" w14:textId="5B409E4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78711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subject to the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positions.</w:t>
            </w:r>
          </w:p>
          <w:p w14:paraId="3375451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7D57961" w14:textId="34E903E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ABEBBB0" w14:textId="77777777" w:rsidTr="00945EB6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3B211" w14:textId="1C2BF0EB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EF58" w14:textId="2A08566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6EF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subject to the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shock.</w:t>
            </w:r>
          </w:p>
          <w:p w14:paraId="0C2CB5B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C4F383" w14:textId="2A43936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367F954B" w14:textId="77777777" w:rsidTr="00945EB6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1346" w14:textId="5CC61B85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3115" w14:textId="296C1B3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7D91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subject to the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 and after the loss absorbing capacity of technical provisions.</w:t>
            </w:r>
          </w:p>
          <w:p w14:paraId="615FF9D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A2C580" w14:textId="3A0130B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0DA511CE" w14:textId="77777777" w:rsidTr="00945EB6">
        <w:trPr>
          <w:trHeight w:val="13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3743" w14:textId="371AA757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D717" w14:textId="38E44C6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7605" w14:textId="24E73F1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adjustment for the loss absorbing capacity of technical provisions. </w:t>
            </w:r>
          </w:p>
          <w:p w14:paraId="2053867E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B134759" w14:textId="14928F4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1252230F" w14:textId="77777777" w:rsidTr="00945EB6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B19A" w14:textId="558F1BAA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2967" w14:textId="5C08157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(before the loss absorbing capacity of technical provisions)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spread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5E8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subject to the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 but before the loss absorbing capacity of technical provisions.</w:t>
            </w:r>
          </w:p>
          <w:p w14:paraId="47B2772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EB20B1" w14:textId="2490D9C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1DE9423F" w14:textId="77777777" w:rsidTr="00945EB6">
        <w:trPr>
          <w:trHeight w:val="121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BA8E" w14:textId="6E251B2D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DE0F" w14:textId="3CD0235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spread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- securitisation positions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D475" w14:textId="7DFDD10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spread risk on </w:t>
            </w:r>
            <w:proofErr w:type="spell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i.e. before the loss absorbing capacity of technical provisions.</w:t>
            </w:r>
          </w:p>
          <w:p w14:paraId="7EBFC4AE" w14:textId="2090860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5E00CA" w:rsidRPr="00945EB6" w14:paraId="48BB0A62" w14:textId="77777777" w:rsidTr="00945EB6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B15E9D" w14:textId="77777777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Concentration risk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6402B369" w14:textId="69894C62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9BCC1" w14:textId="77777777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7CA3B92F" w14:textId="77777777" w:rsidTr="00945EB6">
        <w:trPr>
          <w:trHeight w:val="191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79B7" w14:textId="7BE3C91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R0500/C0020</w:t>
            </w:r>
          </w:p>
          <w:p w14:paraId="56DB90E3" w14:textId="27831C14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(A19)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2AA2" w14:textId="0698F9E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market risk concentrations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3A5E59" w14:textId="6CA7414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 subject to the market risk concentrations </w:t>
            </w:r>
          </w:p>
          <w:p w14:paraId="1F2E55EC" w14:textId="77777777" w:rsidR="005B0C95" w:rsidRPr="00945EB6" w:rsidRDefault="005B0C95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7ACE86" w14:textId="20A80DA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captive undertakings</w:t>
            </w:r>
            <w:r w:rsidR="000A1625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within the group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if R0040/C0010=1,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item represents the absolute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value of the assets subject to the market risk concentration, after taking into account simplifications allowed for captives.</w:t>
            </w:r>
          </w:p>
          <w:p w14:paraId="6B51F16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9423978" w14:textId="41A6C6AC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100C7DEE" w14:textId="77777777" w:rsidTr="00945EB6">
        <w:trPr>
          <w:trHeight w:val="85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52DD9" w14:textId="654E853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R0500/C0060</w:t>
            </w:r>
          </w:p>
          <w:p w14:paraId="07DE0B29" w14:textId="7F5CCFA5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(C19)</w:t>
            </w:r>
          </w:p>
        </w:tc>
        <w:tc>
          <w:tcPr>
            <w:tcW w:w="26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D040" w14:textId="39A1711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market risk concentrations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681579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market risk concentrations, after adjustment for the loss absorbing capacity of technical provisions, aggregated for each single name exposure.</w:t>
            </w:r>
          </w:p>
        </w:tc>
      </w:tr>
      <w:tr w:rsidR="00F16D43" w:rsidRPr="00945EB6" w14:paraId="425BC938" w14:textId="77777777" w:rsidTr="00945EB6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C510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DA1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E980B" w14:textId="3C4FC56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captive undertakings</w:t>
            </w:r>
            <w:r w:rsidR="000A1625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within the group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if cell R0040/C0010=1, this item represents net capital charge for market risk concentration, calculated using simplified calculation.</w:t>
            </w:r>
          </w:p>
        </w:tc>
      </w:tr>
      <w:tr w:rsidR="00F16D43" w:rsidRPr="00945EB6" w14:paraId="77CEACC6" w14:textId="77777777" w:rsidTr="00945EB6">
        <w:trPr>
          <w:trHeight w:val="102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FBE2" w14:textId="5525735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R0500/C0080</w:t>
            </w:r>
          </w:p>
          <w:p w14:paraId="42681BB6" w14:textId="42ECBC9B" w:rsidR="005E00CA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(D19)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FC4B" w14:textId="4A37DED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 - market risk concentrations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A7A9" w14:textId="66A4393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market risk concentrations, aggregated for each single name exposure, i.e. before the loss absorbing capacity of technical provisions.</w:t>
            </w:r>
          </w:p>
        </w:tc>
      </w:tr>
      <w:tr w:rsidR="00F16D43" w:rsidRPr="00945EB6" w14:paraId="46D7DD72" w14:textId="77777777" w:rsidTr="00945EB6">
        <w:trPr>
          <w:trHeight w:val="285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7127A" w14:textId="6B78EAD0" w:rsidR="00F16D43" w:rsidRPr="00945EB6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Currency risk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CB78C" w14:textId="453431D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A5EE8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68C9BD0D" w14:textId="77777777" w:rsidTr="00945EB6">
        <w:trPr>
          <w:trHeight w:val="28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260D" w14:textId="7F2AFC5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R0600/C0060</w:t>
            </w:r>
          </w:p>
          <w:p w14:paraId="54F80777" w14:textId="0432DD30" w:rsidR="005E00CA" w:rsidRPr="00945EB6" w:rsidRDefault="005E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</w:t>
            </w:r>
            <w:r w:rsidR="00663F4D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448F" w14:textId="13F212A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 (including 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041C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426C57B3" w14:textId="1077D55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   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capital requirement (including after the loss absorbing capacity of technical provisions) for an increase in value of the foreign currency against the local currency;</w:t>
            </w:r>
          </w:p>
          <w:p w14:paraId="6B4D3D46" w14:textId="28AE4F7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    </w:t>
            </w:r>
            <w:proofErr w:type="gram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</w:t>
            </w:r>
            <w:proofErr w:type="gram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capital requirement (including after the loss absorbing capacity of technical provisions) for a decrease in value of the foreign currency against the local currency.</w:t>
            </w:r>
          </w:p>
          <w:p w14:paraId="516D4A57" w14:textId="2F209D1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5D8597C3" w14:textId="77777777" w:rsidTr="00945EB6">
        <w:trPr>
          <w:trHeight w:val="184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27C5" w14:textId="2A38631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R0600/C0080</w:t>
            </w:r>
          </w:p>
          <w:p w14:paraId="27F2101E" w14:textId="206E8649" w:rsidR="00663F4D" w:rsidRPr="00945EB6" w:rsidRDefault="00663F4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2572" w14:textId="6D3675EB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320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6B19DF14" w14:textId="5582BC5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 the capital requirement (before the loss absorbing capacity of technical provisions) for an increase in value of the foreign currency against the local currency;</w:t>
            </w:r>
          </w:p>
          <w:p w14:paraId="5A8FE65E" w14:textId="074CACC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 </w:t>
            </w:r>
            <w:proofErr w:type="gramStart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</w:t>
            </w:r>
            <w:proofErr w:type="gramEnd"/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capital requirement (before the loss absorbing capacity of technical provisions) for a decrease in value of the foreign currency against the local currency.</w:t>
            </w:r>
          </w:p>
        </w:tc>
      </w:tr>
      <w:tr w:rsidR="00F16D43" w:rsidRPr="00945EB6" w14:paraId="5B45AFC8" w14:textId="77777777" w:rsidTr="00945EB6">
        <w:trPr>
          <w:trHeight w:val="142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6816" w14:textId="444C72B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4CFE18B4" w14:textId="77777777" w:rsidR="00B47E0D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5DEB6E92" w14:textId="4B06981E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 w:rsidDel="00892CC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AD48" w14:textId="24829A8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08EA0" w14:textId="139B1C0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assets sensitive to currency increase/decrease risk, before shock.</w:t>
            </w:r>
          </w:p>
          <w:p w14:paraId="1A0C574F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ED7F9E" w14:textId="667E3A9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345116CF" w14:textId="77777777" w:rsidTr="00945EB6">
        <w:trPr>
          <w:trHeight w:val="14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E0CD" w14:textId="0ED3F13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B756E44" w14:textId="5660E86C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DBAE" w14:textId="1556ACD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B778" w14:textId="56C54D2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currency increase/decrease risk, before shock.</w:t>
            </w:r>
          </w:p>
          <w:p w14:paraId="77462AE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4003269" w14:textId="769AD50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  <w:p w14:paraId="2BDF65CC" w14:textId="408F42F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1FE39611" w14:textId="77777777" w:rsidTr="00945EB6">
        <w:trPr>
          <w:trHeight w:val="13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896B" w14:textId="238CCCF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2E11E814" w14:textId="0D089DAC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0DED" w14:textId="2FBB520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Assets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B7C6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subject to currency increase/decrease risk after the shock. </w:t>
            </w:r>
          </w:p>
          <w:p w14:paraId="1D4D0D8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37FFB97" w14:textId="300C014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945EB6" w14:paraId="1B4201DB" w14:textId="77777777" w:rsidTr="00945EB6">
        <w:trPr>
          <w:trHeight w:val="170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B8FD" w14:textId="12DFF3D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7900D314" w14:textId="17BB9AC7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E9C5B" w14:textId="5A04609D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Liabilities (after 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B3E1" w14:textId="31A928A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subject to currency increase/decrease risk after the shock. </w:t>
            </w:r>
          </w:p>
          <w:p w14:paraId="69609115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8B10CB9" w14:textId="38AAC45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797EE8F5" w14:textId="77777777" w:rsidTr="00945EB6">
        <w:trPr>
          <w:trHeight w:val="19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C6A6" w14:textId="425E580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6F89751C" w14:textId="0BBABFF9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ACA2" w14:textId="1F339D8A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 (</w:t>
            </w:r>
            <w:r w:rsidRPr="00945EB6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including 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loss 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4C08" w14:textId="4F00F9E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currency increase/decrease risk, after adjustment for the loss absorbing capacity of technical provisions.</w:t>
            </w:r>
          </w:p>
          <w:p w14:paraId="3DC076B2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56118743" w14:textId="1F54E9B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7811AB83" w14:textId="77777777" w:rsidTr="00945EB6">
        <w:trPr>
          <w:trHeight w:val="152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E4CF0" w14:textId="76DB0D30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4BBF41F" w14:textId="2F1A7439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F925" w14:textId="3006CA91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(before the loss-absorbing capacity of technical provisions)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07E0" w14:textId="4188C56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subject to currency increase/decrease risk after the shock. </w:t>
            </w:r>
          </w:p>
          <w:p w14:paraId="0A3C4004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B2B68B" w14:textId="2B7B035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945EB6" w14:paraId="3EA23F4A" w14:textId="77777777" w:rsidTr="00945EB6">
        <w:trPr>
          <w:trHeight w:val="183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1F80" w14:textId="3B43B1F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58EDC98F" w14:textId="1E686CE9" w:rsidR="00F16D43" w:rsidRPr="00945EB6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4E4A" w14:textId="30840C96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Gross solvency capital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(</w:t>
            </w:r>
            <w:r w:rsidRPr="00945EB6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945EB6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loss-absorbing capacity of technical provisions)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Currency risk </w:t>
            </w:r>
            <w:r w:rsidR="00D7069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3E34" w14:textId="6005D52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currency increase/decrease risk, i.e. </w:t>
            </w:r>
            <w:r w:rsidRPr="00945EB6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before the loss absorbing capacity of Technical provisions </w:t>
            </w:r>
          </w:p>
          <w:p w14:paraId="5B540723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47A3077" w14:textId="293C179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85C2D" w:rsidRPr="00945EB6" w14:paraId="0044233B" w14:textId="77777777" w:rsidTr="00785C2D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A086F" w14:textId="77777777" w:rsidR="00785C2D" w:rsidRPr="00945EB6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Diversification within market risk module</w:t>
            </w:r>
          </w:p>
          <w:p w14:paraId="0C645601" w14:textId="0161E6C8" w:rsidR="00785C2D" w:rsidRPr="00945EB6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4A194AA6" w14:textId="77777777" w:rsidTr="00945EB6">
        <w:trPr>
          <w:trHeight w:val="10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75FE" w14:textId="46EE0EB4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R0700/C0060</w:t>
            </w:r>
          </w:p>
          <w:p w14:paraId="39A65802" w14:textId="67CD523C" w:rsidR="00785C2D" w:rsidRPr="00945EB6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(C22)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0D7B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market risk module -net 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736F" w14:textId="35B6F1CF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net capital requirements (after loss absorbing capacity of technical provisions) of the single risk sub-modules.</w:t>
            </w:r>
          </w:p>
          <w:p w14:paraId="3DE3B849" w14:textId="67EB53D9" w:rsidR="00A91748" w:rsidRPr="00945EB6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2979B1F" w14:textId="46676F56" w:rsidR="00641012" w:rsidRPr="00945EB6" w:rsidRDefault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1A910FD6" w14:textId="0927079E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00FFABB7" w14:textId="77777777" w:rsidTr="00945EB6">
        <w:trPr>
          <w:trHeight w:val="91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BBF1" w14:textId="17F5F0B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R0700/C0080</w:t>
            </w:r>
          </w:p>
          <w:p w14:paraId="1E142694" w14:textId="36CDF7D9" w:rsidR="00785C2D" w:rsidRPr="00945EB6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(D22)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8B132" w14:textId="5C7CF4D8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Diversification within market risk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module - gross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C4AE" w14:textId="51208D1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gross capital requirements (before loss absorbing capacity of technical provisions) of the single risk sub-modules.</w:t>
            </w:r>
          </w:p>
          <w:p w14:paraId="276CF7D7" w14:textId="77777777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9CC4E46" w14:textId="38F09F54" w:rsidR="00A91748" w:rsidRPr="00945EB6" w:rsidRDefault="00A91748" w:rsidP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C526BD4" w14:textId="68D1D225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A91748" w:rsidRPr="00945EB6" w14:paraId="45B4FA66" w14:textId="77777777" w:rsidTr="003D1C67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8581E1" w14:textId="77777777" w:rsidR="00A91748" w:rsidRPr="00945EB6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Total solvency capital requirement for market risk</w:t>
            </w:r>
          </w:p>
          <w:p w14:paraId="0C1611C9" w14:textId="5477BC04" w:rsidR="00A91748" w:rsidRPr="00945EB6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308E3FCF" w14:textId="77777777" w:rsidTr="00945EB6">
        <w:trPr>
          <w:trHeight w:val="92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DA98" w14:textId="6DAFA5D1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R0800/C0060</w:t>
            </w:r>
          </w:p>
          <w:p w14:paraId="43B9234B" w14:textId="245C236E" w:rsidR="00A91748" w:rsidRPr="00945EB6" w:rsidRDefault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(C23)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C94B" w14:textId="73BA88C1" w:rsidR="00854BB4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requirements for market risk</w:t>
            </w:r>
          </w:p>
          <w:p w14:paraId="6039EEEB" w14:textId="77777777" w:rsidR="00854BB4" w:rsidRPr="00945EB6" w:rsidRDefault="00854BB4" w:rsidP="00945EB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8F8AD00" w14:textId="298F9586" w:rsidR="00854BB4" w:rsidRPr="00945EB6" w:rsidRDefault="00854BB4" w:rsidP="00854BB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67FB97" w14:textId="77777777" w:rsidR="00F16D43" w:rsidRPr="00945EB6" w:rsidRDefault="00F16D43" w:rsidP="00945EB6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0767" w14:textId="1B43924E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net capital charge for all market risks, after loss absorbing capacity of technical provisions, calculated using the standard formula.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7B0CAE79" w14:textId="0E09D1CC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945EB6" w14:paraId="5A1C87DD" w14:textId="77777777" w:rsidTr="00945EB6">
        <w:trPr>
          <w:trHeight w:val="94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80767" w14:textId="4E234BF9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</w:t>
            </w:r>
            <w:r w:rsidR="009406D8"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0/C0080</w:t>
            </w:r>
          </w:p>
          <w:p w14:paraId="5C32B8BF" w14:textId="7DD0EF74" w:rsidR="00A91748" w:rsidRPr="00945EB6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(D23)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5B58" w14:textId="3B266AF2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for market risk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AFE49" w14:textId="4C1E4463" w:rsidR="00F16D43" w:rsidRPr="00945EB6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gross capital charge for all market risks, excluding loss absorbing capacity of technical provisions, calculated using the standard formula</w:t>
            </w:r>
            <w:r w:rsidR="00C456D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522E6D1B" w14:textId="52557C97" w:rsidR="00F16D43" w:rsidRPr="00945EB6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B30ACF" w:rsidRPr="00945EB6" w14:paraId="55132188" w14:textId="77777777" w:rsidTr="00945EB6">
        <w:trPr>
          <w:trHeight w:val="411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1AF0" w14:textId="567E9A01" w:rsidR="00B30ACF" w:rsidRPr="00945EB6" w:rsidRDefault="00B30ACF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Further details on equity risk</w:t>
            </w:r>
          </w:p>
        </w:tc>
      </w:tr>
      <w:tr w:rsidR="00B30ACF" w:rsidRPr="00945EB6" w14:paraId="5BA1358E" w14:textId="77777777" w:rsidTr="00945EB6">
        <w:trPr>
          <w:trHeight w:val="65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DCA8C" w14:textId="51E70695" w:rsidR="00B30ACF" w:rsidRPr="00945EB6" w:rsidDel="00892CC1" w:rsidRDefault="00B30ACF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R0900/C0090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332E" w14:textId="34B7CB85" w:rsidR="00B30ACF" w:rsidRPr="00945EB6" w:rsidRDefault="00B30ACF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Losses steaming from type 2 mortgage loans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28C8" w14:textId="1E5385C7" w:rsidR="00B30ACF" w:rsidRPr="00945EB6" w:rsidRDefault="00CC14A0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overall losses steaming from mortgage loans that has been classified as type 2 exposures.</w:t>
            </w:r>
          </w:p>
        </w:tc>
      </w:tr>
      <w:tr w:rsidR="00B30ACF" w:rsidRPr="00945EB6" w14:paraId="3269C7BC" w14:textId="77777777" w:rsidTr="00945EB6">
        <w:trPr>
          <w:trHeight w:val="56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8878" w14:textId="26F46363" w:rsidR="00B30ACF" w:rsidRPr="00945EB6" w:rsidDel="00892CC1" w:rsidRDefault="00B30ACF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R0910/C0090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527B5" w14:textId="738E3CA5" w:rsidR="00B30ACF" w:rsidRPr="00945EB6" w:rsidRDefault="00B30ACF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Overall losses steaming from mortgage loans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10280" w14:textId="5B04E1A2" w:rsidR="00B30ACF" w:rsidRPr="00945EB6" w:rsidRDefault="00CC14A0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45EB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overall losses steaming from mortgage loans</w:t>
            </w:r>
          </w:p>
        </w:tc>
      </w:tr>
    </w:tbl>
    <w:p w14:paraId="13950813" w14:textId="77777777" w:rsidR="00892CC1" w:rsidRPr="00945EB6" w:rsidRDefault="00892CC1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892CC1" w:rsidRPr="00945E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B5468" w14:textId="77777777" w:rsidR="00945EB6" w:rsidRDefault="00945EB6" w:rsidP="00CA5811">
      <w:pPr>
        <w:spacing w:after="0" w:line="240" w:lineRule="auto"/>
      </w:pPr>
      <w:r>
        <w:separator/>
      </w:r>
    </w:p>
  </w:endnote>
  <w:endnote w:type="continuationSeparator" w:id="0">
    <w:p w14:paraId="4F584391" w14:textId="77777777" w:rsidR="00945EB6" w:rsidRDefault="00945EB6" w:rsidP="00CA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31B98" w14:textId="77777777" w:rsidR="00945EB6" w:rsidRDefault="00945EB6" w:rsidP="00CA5811">
      <w:pPr>
        <w:spacing w:after="0" w:line="240" w:lineRule="auto"/>
      </w:pPr>
      <w:r>
        <w:separator/>
      </w:r>
    </w:p>
  </w:footnote>
  <w:footnote w:type="continuationSeparator" w:id="0">
    <w:p w14:paraId="38BEF3D1" w14:textId="77777777" w:rsidR="00945EB6" w:rsidRDefault="00945EB6" w:rsidP="00CA5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30047"/>
    <w:multiLevelType w:val="hybridMultilevel"/>
    <w:tmpl w:val="2CC6F4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37D1D"/>
    <w:multiLevelType w:val="hybridMultilevel"/>
    <w:tmpl w:val="076E7744"/>
    <w:lvl w:ilvl="0" w:tplc="294247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31"/>
    <w:rsid w:val="00014339"/>
    <w:rsid w:val="00016481"/>
    <w:rsid w:val="00021DCD"/>
    <w:rsid w:val="00031239"/>
    <w:rsid w:val="00080AE4"/>
    <w:rsid w:val="000936D5"/>
    <w:rsid w:val="000A1625"/>
    <w:rsid w:val="000D7514"/>
    <w:rsid w:val="000E3DB5"/>
    <w:rsid w:val="00116B86"/>
    <w:rsid w:val="00122ADC"/>
    <w:rsid w:val="00124AEA"/>
    <w:rsid w:val="00147339"/>
    <w:rsid w:val="00147A5B"/>
    <w:rsid w:val="00152B52"/>
    <w:rsid w:val="00166773"/>
    <w:rsid w:val="00171A53"/>
    <w:rsid w:val="001A12C7"/>
    <w:rsid w:val="001E14E2"/>
    <w:rsid w:val="001E4ED3"/>
    <w:rsid w:val="00250AA1"/>
    <w:rsid w:val="00277B81"/>
    <w:rsid w:val="002B0A34"/>
    <w:rsid w:val="002C3ACE"/>
    <w:rsid w:val="002C6D8C"/>
    <w:rsid w:val="003044C7"/>
    <w:rsid w:val="00342A88"/>
    <w:rsid w:val="00345545"/>
    <w:rsid w:val="00385442"/>
    <w:rsid w:val="00385615"/>
    <w:rsid w:val="003C71AD"/>
    <w:rsid w:val="003D1C67"/>
    <w:rsid w:val="00460544"/>
    <w:rsid w:val="004B1694"/>
    <w:rsid w:val="004E27BF"/>
    <w:rsid w:val="00517E22"/>
    <w:rsid w:val="005460C1"/>
    <w:rsid w:val="005508F0"/>
    <w:rsid w:val="005540BA"/>
    <w:rsid w:val="00575896"/>
    <w:rsid w:val="005B0C95"/>
    <w:rsid w:val="005D2330"/>
    <w:rsid w:val="005E00CA"/>
    <w:rsid w:val="00615DDB"/>
    <w:rsid w:val="00641012"/>
    <w:rsid w:val="00641969"/>
    <w:rsid w:val="00663F4D"/>
    <w:rsid w:val="006A20BA"/>
    <w:rsid w:val="006D1769"/>
    <w:rsid w:val="00717723"/>
    <w:rsid w:val="007742B4"/>
    <w:rsid w:val="00785C2D"/>
    <w:rsid w:val="007B1302"/>
    <w:rsid w:val="007D0DD8"/>
    <w:rsid w:val="007E4A1C"/>
    <w:rsid w:val="0080190C"/>
    <w:rsid w:val="00807A35"/>
    <w:rsid w:val="00854BB4"/>
    <w:rsid w:val="0086086A"/>
    <w:rsid w:val="00880789"/>
    <w:rsid w:val="0088590C"/>
    <w:rsid w:val="00887129"/>
    <w:rsid w:val="00892CC1"/>
    <w:rsid w:val="00894EB4"/>
    <w:rsid w:val="008F213D"/>
    <w:rsid w:val="0093375A"/>
    <w:rsid w:val="00937846"/>
    <w:rsid w:val="009406D8"/>
    <w:rsid w:val="00945EB6"/>
    <w:rsid w:val="009479E9"/>
    <w:rsid w:val="009825E0"/>
    <w:rsid w:val="009973EC"/>
    <w:rsid w:val="009B0FBF"/>
    <w:rsid w:val="009D71F4"/>
    <w:rsid w:val="009F4C8D"/>
    <w:rsid w:val="00A602D3"/>
    <w:rsid w:val="00A91748"/>
    <w:rsid w:val="00A9264C"/>
    <w:rsid w:val="00AF5310"/>
    <w:rsid w:val="00B1173F"/>
    <w:rsid w:val="00B1191D"/>
    <w:rsid w:val="00B30ACF"/>
    <w:rsid w:val="00B40B4B"/>
    <w:rsid w:val="00B47E0D"/>
    <w:rsid w:val="00B56123"/>
    <w:rsid w:val="00C11152"/>
    <w:rsid w:val="00C331EC"/>
    <w:rsid w:val="00C456DA"/>
    <w:rsid w:val="00C522D6"/>
    <w:rsid w:val="00CA5811"/>
    <w:rsid w:val="00CC14A0"/>
    <w:rsid w:val="00CD3E31"/>
    <w:rsid w:val="00D2653F"/>
    <w:rsid w:val="00D31B93"/>
    <w:rsid w:val="00D70699"/>
    <w:rsid w:val="00D76C4D"/>
    <w:rsid w:val="00DA506D"/>
    <w:rsid w:val="00DB278B"/>
    <w:rsid w:val="00DC2704"/>
    <w:rsid w:val="00E04ED6"/>
    <w:rsid w:val="00E24E79"/>
    <w:rsid w:val="00E33669"/>
    <w:rsid w:val="00E4777E"/>
    <w:rsid w:val="00E665C3"/>
    <w:rsid w:val="00E73FBE"/>
    <w:rsid w:val="00E743C7"/>
    <w:rsid w:val="00EA4FB3"/>
    <w:rsid w:val="00F16D43"/>
    <w:rsid w:val="00F465D3"/>
    <w:rsid w:val="00F7203D"/>
    <w:rsid w:val="00FC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CE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44A62-4B22-46F5-AE89-D0BDD969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5428</Words>
  <Characters>30945</Characters>
  <Application>Microsoft Office Word</Application>
  <DocSecurity>0</DocSecurity>
  <Lines>257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36301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11</cp:revision>
  <dcterms:created xsi:type="dcterms:W3CDTF">2014-11-10T13:29:00Z</dcterms:created>
  <dcterms:modified xsi:type="dcterms:W3CDTF">2014-12-01T14:20:00Z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1226556772</vt:i4>
  </property>
  <property fmtid="{D5CDD505-2E9C-101B-9397-08002B2CF9AE}" pid="4" name="_EmailSubject">
    <vt:lpwstr>S.26 review </vt:lpwstr>
  </property>
  <property fmtid="{D5CDD505-2E9C-101B-9397-08002B2CF9AE}" pid="5" name="_AuthorEmail">
    <vt:lpwstr>Elzbieta.Woynowska@bankofengland.gsi.gov.uk</vt:lpwstr>
  </property>
  <property fmtid="{D5CDD505-2E9C-101B-9397-08002B2CF9AE}" pid="6" name="_AuthorEmailDisplayName">
    <vt:lpwstr>Woynowska, Elzbieta</vt:lpwstr>
  </property>
  <property fmtid="{D5CDD505-2E9C-101B-9397-08002B2CF9AE}" pid="7" name="_ReviewingToolsShownOnce">
    <vt:lpwstr/>
  </property>
</Properties>
</file>